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7BDE"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lang w:val="es-ES"/>
        </w:rPr>
      </w:pPr>
      <w:r w:rsidRPr="000A2F12">
        <w:rPr>
          <w:rFonts w:eastAsia="Times New Roman" w:cs="Courier New"/>
          <w:b/>
          <w:bCs/>
          <w:lang w:val="es-ES"/>
        </w:rPr>
        <w:t>INSTRUCCIONES DE USO</w:t>
      </w:r>
    </w:p>
    <w:p w14:paraId="35CAA806"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lang w:val="es-ES"/>
        </w:rPr>
      </w:pPr>
      <w:r w:rsidRPr="000A2F12">
        <w:rPr>
          <w:rFonts w:eastAsia="Times New Roman" w:cs="Courier New"/>
          <w:b/>
          <w:bCs/>
          <w:lang w:val="es-ES"/>
        </w:rPr>
        <w:t>FÉRULA DE TRACCIÓN CT-6</w:t>
      </w:r>
    </w:p>
    <w:p w14:paraId="3A9CC6BF" w14:textId="162FDD12" w:rsid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USO PREVISTO: LA FÉRULA DE TRACCIÓN DE PIERNAS CT-6 está destinada a proporcionar apoyo y tracción a las fracturas de fémur de la diáfisis media durante la atención prehospitalaria y el transporte del paciente.</w:t>
      </w:r>
    </w:p>
    <w:p w14:paraId="2B815BB0" w14:textId="611914FF" w:rsid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INDICACIONES: Fracturas de fémur de la diáfisis media.</w:t>
      </w:r>
    </w:p>
    <w:p w14:paraId="1CA741A9" w14:textId="42436728" w:rsid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GRUPO DE PACIENTES DESTINADOS: Adultos con fracturas diafisarias del fémur, que no afectan la articulación de la rodilla.</w:t>
      </w:r>
    </w:p>
    <w:p w14:paraId="578EB840" w14:textId="628407F4" w:rsid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USUARIO DESTINO: Profesionales de la salud y personal no médico capacitado.</w:t>
      </w:r>
    </w:p>
    <w:p w14:paraId="7E3210C0"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p>
    <w:p w14:paraId="193F5082"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INSTRUCCIONES:</w:t>
      </w:r>
    </w:p>
    <w:p w14:paraId="2D005C3A"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1. Revise la circulación en la pierna. Pulso distal a pie.</w:t>
      </w:r>
    </w:p>
    <w:p w14:paraId="01DEDE1D"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2. Cortar la pernera del pantalón si es necesario</w:t>
      </w:r>
    </w:p>
    <w:p w14:paraId="5DFBA51F"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3. Evalúe la lesión para determinar si se necesita tracción. Determina el nivel de dolor. Compare las longitudes de las piernas del paciente.</w:t>
      </w:r>
    </w:p>
    <w:p w14:paraId="19FA8503"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4. Retire la férula de la bolsa.</w:t>
      </w:r>
    </w:p>
    <w:p w14:paraId="3ACD7A0A"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5. Agite la férula hacia arriba y hacia abajo para acoplar las secciones del tubo. Conecte manualmente los tubos no vinculados.</w:t>
      </w:r>
    </w:p>
    <w:p w14:paraId="77CFA314"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6. Unidad al lado de la pierna sana. La férula debe extenderse justo por encima de la cresta de la cadera y entre 10 y 15 cm (6 pulgadas) por debajo del pie del paciente.</w:t>
      </w:r>
    </w:p>
    <w:p w14:paraId="73B0211C"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7. Agregue o retire secciones de tubo según sea necesario para el tamaño adecuado. Doble los tubos desconectados a lo largo de la férula.</w:t>
      </w:r>
    </w:p>
    <w:p w14:paraId="46F33046"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8. Asegure estas secciones de tubo con la tapa isquiática.</w:t>
      </w:r>
    </w:p>
    <w:p w14:paraId="7A8FC611"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9. Envuelva la correa isquiática alrededor de la pierna y sujete el clip a la gorra. Asegúrese de que la hebilla esté en la parte superior. No debajo de la pierna. Apriete el extremo suelto de la correa de la hebilla.</w:t>
      </w:r>
    </w:p>
    <w:p w14:paraId="78AE75CE"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10. Coloque el pie en el enganche del tobillo. Use el extremo deslizante de la correa para el pie para asegurarse de que la correa esté colocada por igual en ambos lados del tobillo. Envuelva la correa del tobillo alrededor del tobillo y doble la lengüeta pequeña para asegurarla. Apriete la hebilla de la correa del pie para eliminar la holgura.</w:t>
      </w:r>
    </w:p>
    <w:p w14:paraId="57EA54F3"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11. Línea de pastillas para aplicar una tensión moderada. Se debe aplicar una cantidad mínima de tracción en este punto solo para que la férula descanse en su posición adecuada.</w:t>
      </w:r>
    </w:p>
    <w:p w14:paraId="53C9C485"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12. Levante la línea en V-</w:t>
      </w:r>
      <w:proofErr w:type="spellStart"/>
      <w:r w:rsidRPr="000A2F12">
        <w:rPr>
          <w:rFonts w:eastAsia="Times New Roman" w:cs="Courier New"/>
          <w:lang w:val="es-ES"/>
        </w:rPr>
        <w:t>Jam</w:t>
      </w:r>
      <w:proofErr w:type="spellEnd"/>
      <w:r w:rsidRPr="000A2F12">
        <w:rPr>
          <w:rFonts w:eastAsia="Times New Roman" w:cs="Courier New"/>
          <w:lang w:val="es-ES"/>
        </w:rPr>
        <w:t>.</w:t>
      </w:r>
    </w:p>
    <w:p w14:paraId="7E84FEC6"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13. Envuelva las correas de las piernas, dos por encima de la rodilla y dos por debajo. No cubra lesiones ni rodillas.</w:t>
      </w:r>
    </w:p>
    <w:p w14:paraId="4F2EF7AD"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14. Aplique tracción reajustando la tensión hasta que se logre la comodidad del paciente. Levanta la línea y vuelve a bloquear el V-</w:t>
      </w:r>
      <w:proofErr w:type="spellStart"/>
      <w:r w:rsidRPr="000A2F12">
        <w:rPr>
          <w:rFonts w:eastAsia="Times New Roman" w:cs="Courier New"/>
          <w:lang w:val="es-ES"/>
        </w:rPr>
        <w:t>Jam</w:t>
      </w:r>
      <w:proofErr w:type="spellEnd"/>
    </w:p>
    <w:p w14:paraId="57E08A87"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15. Coloque el exceso de línea debajo de la correa de la pierna</w:t>
      </w:r>
    </w:p>
    <w:p w14:paraId="5C2F3F59" w14:textId="61B99247" w:rsid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s-ES"/>
        </w:rPr>
      </w:pPr>
      <w:r w:rsidRPr="000A2F12">
        <w:rPr>
          <w:rFonts w:eastAsia="Times New Roman" w:cs="Courier New"/>
          <w:lang w:val="es-ES"/>
        </w:rPr>
        <w:t>NOTAS: Aplique tracción hasta que el nivel de dolor del paciente haya disminuido. Aplique tracción hasta que las piernas del paciente tengan la misma longitud.</w:t>
      </w:r>
    </w:p>
    <w:p w14:paraId="7F014335" w14:textId="77777777" w:rsidR="000A2F12" w:rsidRPr="000A2F12" w:rsidRDefault="000A2F12" w:rsidP="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p>
    <w:p w14:paraId="3ED5F534" w14:textId="77777777" w:rsidR="000A2F12" w:rsidRPr="000A2F12" w:rsidRDefault="000A2F12" w:rsidP="000A2F12">
      <w:pPr>
        <w:pStyle w:val="HTMLPreformatted"/>
        <w:rPr>
          <w:rStyle w:val="y2iqfc"/>
          <w:rFonts w:asciiTheme="minorHAnsi" w:hAnsiTheme="minorHAnsi"/>
          <w:sz w:val="22"/>
          <w:szCs w:val="22"/>
          <w:lang w:val="es-ES"/>
        </w:rPr>
      </w:pPr>
      <w:r w:rsidRPr="000A2F12">
        <w:rPr>
          <w:rStyle w:val="y2iqfc"/>
          <w:rFonts w:asciiTheme="minorHAnsi" w:hAnsiTheme="minorHAnsi"/>
          <w:sz w:val="22"/>
          <w:szCs w:val="22"/>
          <w:lang w:val="es-ES"/>
        </w:rPr>
        <w:t>BENEFICIOS CLÍNICOS:</w:t>
      </w:r>
    </w:p>
    <w:p w14:paraId="312C9E63" w14:textId="77777777" w:rsidR="000A2F12" w:rsidRPr="000A2F12" w:rsidRDefault="000A2F12" w:rsidP="000A2F12">
      <w:pPr>
        <w:pStyle w:val="HTMLPreformatted"/>
        <w:rPr>
          <w:rStyle w:val="y2iqfc"/>
          <w:rFonts w:asciiTheme="minorHAnsi" w:hAnsiTheme="minorHAnsi"/>
          <w:sz w:val="22"/>
          <w:szCs w:val="22"/>
          <w:lang w:val="es-ES"/>
        </w:rPr>
      </w:pPr>
      <w:r w:rsidRPr="000A2F12">
        <w:rPr>
          <w:rStyle w:val="y2iqfc"/>
          <w:rFonts w:asciiTheme="minorHAnsi" w:hAnsiTheme="minorHAnsi"/>
          <w:sz w:val="22"/>
          <w:szCs w:val="22"/>
          <w:lang w:val="es-ES"/>
        </w:rPr>
        <w:t>• Proporcionar apoyo y tracción a las fracturas de fémur de la diáfisis media</w:t>
      </w:r>
    </w:p>
    <w:p w14:paraId="17C51548" w14:textId="77777777" w:rsidR="000A2F12" w:rsidRPr="000A2F12" w:rsidRDefault="000A2F12" w:rsidP="000A2F12">
      <w:pPr>
        <w:pStyle w:val="HTMLPreformatted"/>
        <w:rPr>
          <w:rStyle w:val="y2iqfc"/>
          <w:rFonts w:asciiTheme="minorHAnsi" w:hAnsiTheme="minorHAnsi"/>
          <w:sz w:val="22"/>
          <w:szCs w:val="22"/>
          <w:lang w:val="es-ES"/>
        </w:rPr>
      </w:pPr>
      <w:r w:rsidRPr="000A2F12">
        <w:rPr>
          <w:rStyle w:val="y2iqfc"/>
          <w:rFonts w:asciiTheme="minorHAnsi" w:hAnsiTheme="minorHAnsi"/>
          <w:sz w:val="22"/>
          <w:szCs w:val="22"/>
          <w:lang w:val="es-ES"/>
        </w:rPr>
        <w:t>• Reduce la hemorragia y los espasmos musculares</w:t>
      </w:r>
    </w:p>
    <w:p w14:paraId="7ECE3269" w14:textId="77777777" w:rsidR="000A2F12" w:rsidRPr="000A2F12" w:rsidRDefault="000A2F12" w:rsidP="000A2F12">
      <w:pPr>
        <w:pStyle w:val="HTMLPreformatted"/>
        <w:rPr>
          <w:rStyle w:val="y2iqfc"/>
          <w:rFonts w:asciiTheme="minorHAnsi" w:hAnsiTheme="minorHAnsi"/>
          <w:sz w:val="22"/>
          <w:szCs w:val="22"/>
          <w:lang w:val="es-ES"/>
        </w:rPr>
      </w:pPr>
      <w:r w:rsidRPr="000A2F12">
        <w:rPr>
          <w:rStyle w:val="y2iqfc"/>
          <w:rFonts w:asciiTheme="minorHAnsi" w:hAnsiTheme="minorHAnsi"/>
          <w:sz w:val="22"/>
          <w:szCs w:val="22"/>
          <w:lang w:val="es-ES"/>
        </w:rPr>
        <w:t>• Evita daños mayores a los músculos, tejidos y estructuras anatómicas circundantes</w:t>
      </w:r>
    </w:p>
    <w:p w14:paraId="4770DC62" w14:textId="77777777" w:rsidR="000A2F12" w:rsidRPr="000A2F12" w:rsidRDefault="000A2F12" w:rsidP="000A2F12">
      <w:pPr>
        <w:pStyle w:val="HTMLPreformatted"/>
        <w:rPr>
          <w:rStyle w:val="y2iqfc"/>
          <w:rFonts w:asciiTheme="minorHAnsi" w:hAnsiTheme="minorHAnsi"/>
          <w:sz w:val="22"/>
          <w:szCs w:val="22"/>
          <w:lang w:val="es-ES"/>
        </w:rPr>
      </w:pPr>
      <w:r w:rsidRPr="000A2F12">
        <w:rPr>
          <w:rStyle w:val="y2iqfc"/>
          <w:rFonts w:asciiTheme="minorHAnsi" w:hAnsiTheme="minorHAnsi"/>
          <w:sz w:val="22"/>
          <w:szCs w:val="22"/>
          <w:lang w:val="es-ES"/>
        </w:rPr>
        <w:lastRenderedPageBreak/>
        <w:t>• Alivia el dolor del paciente</w:t>
      </w:r>
    </w:p>
    <w:p w14:paraId="4FC3675A" w14:textId="77777777" w:rsidR="000A2F12" w:rsidRPr="000A2F12" w:rsidRDefault="000A2F12" w:rsidP="000A2F12">
      <w:pPr>
        <w:pStyle w:val="HTMLPreformatted"/>
        <w:rPr>
          <w:rStyle w:val="y2iqfc"/>
          <w:rFonts w:asciiTheme="minorHAnsi" w:hAnsiTheme="minorHAnsi"/>
          <w:sz w:val="22"/>
          <w:szCs w:val="22"/>
          <w:lang w:val="es-ES"/>
        </w:rPr>
      </w:pPr>
      <w:r w:rsidRPr="000A2F12">
        <w:rPr>
          <w:rStyle w:val="y2iqfc"/>
          <w:rFonts w:asciiTheme="minorHAnsi" w:hAnsiTheme="minorHAnsi"/>
          <w:sz w:val="22"/>
          <w:szCs w:val="22"/>
          <w:lang w:val="es-ES"/>
        </w:rPr>
        <w:t>MANTENIMIENTO Y LIMPIEZA:</w:t>
      </w:r>
    </w:p>
    <w:p w14:paraId="1660DA0A" w14:textId="77777777" w:rsidR="000A2F12" w:rsidRPr="000A2F12" w:rsidRDefault="000A2F12" w:rsidP="000A2F12">
      <w:pPr>
        <w:pStyle w:val="HTMLPreformatted"/>
        <w:rPr>
          <w:rStyle w:val="y2iqfc"/>
          <w:rFonts w:asciiTheme="minorHAnsi" w:hAnsiTheme="minorHAnsi"/>
          <w:sz w:val="22"/>
          <w:szCs w:val="22"/>
          <w:lang w:val="es-ES"/>
        </w:rPr>
      </w:pPr>
      <w:r w:rsidRPr="000A2F12">
        <w:rPr>
          <w:rStyle w:val="y2iqfc"/>
          <w:rFonts w:asciiTheme="minorHAnsi" w:hAnsiTheme="minorHAnsi"/>
          <w:sz w:val="22"/>
          <w:szCs w:val="22"/>
          <w:lang w:val="es-ES"/>
        </w:rPr>
        <w:t xml:space="preserve">Inspeccione la férula después de cada uso. El marco debe estar libre de contaminación. El marco se puede limpiar con agua y jabón y secar con una toalla desechable. Si el enganche del tobillo, las correas para las piernas o la correa isquiática tienen alguna contaminación o están desgastadas, no las reutilice, deberán ser reemplazadas por otras nuevas. Para reemplazo, comuníquese con </w:t>
      </w:r>
      <w:proofErr w:type="spellStart"/>
      <w:r w:rsidRPr="000A2F12">
        <w:rPr>
          <w:rStyle w:val="y2iqfc"/>
          <w:rFonts w:asciiTheme="minorHAnsi" w:hAnsiTheme="minorHAnsi"/>
          <w:sz w:val="22"/>
          <w:szCs w:val="22"/>
          <w:lang w:val="es-ES"/>
        </w:rPr>
        <w:t>FareTec</w:t>
      </w:r>
      <w:proofErr w:type="spellEnd"/>
      <w:r w:rsidRPr="000A2F12">
        <w:rPr>
          <w:rStyle w:val="y2iqfc"/>
          <w:rFonts w:asciiTheme="minorHAnsi" w:hAnsiTheme="minorHAnsi"/>
          <w:sz w:val="22"/>
          <w:szCs w:val="22"/>
          <w:lang w:val="es-ES"/>
        </w:rPr>
        <w:t>: + 1-440-350-9510.</w:t>
      </w:r>
    </w:p>
    <w:p w14:paraId="1C996C28" w14:textId="77777777" w:rsidR="000A2F12" w:rsidRPr="000A2F12" w:rsidRDefault="000A2F12" w:rsidP="000A2F12">
      <w:pPr>
        <w:pStyle w:val="HTMLPreformatted"/>
        <w:rPr>
          <w:rStyle w:val="y2iqfc"/>
          <w:rFonts w:asciiTheme="minorHAnsi" w:hAnsiTheme="minorHAnsi"/>
          <w:sz w:val="22"/>
          <w:szCs w:val="22"/>
          <w:lang w:val="es-ES"/>
        </w:rPr>
      </w:pPr>
      <w:r w:rsidRPr="000A2F12">
        <w:rPr>
          <w:rStyle w:val="y2iqfc"/>
          <w:rFonts w:asciiTheme="minorHAnsi" w:hAnsiTheme="minorHAnsi"/>
          <w:sz w:val="22"/>
          <w:szCs w:val="22"/>
          <w:lang w:val="es-ES"/>
        </w:rPr>
        <w:t>CONTRAINDICACIONES: Las férulas de tracción no deben usarse para el cuello de las fracturas de fémur, fracturas y / o dislocaciones de la rodilla y para el tobillo fracturado.</w:t>
      </w:r>
    </w:p>
    <w:p w14:paraId="44D6E8B0" w14:textId="77777777" w:rsidR="000A2F12" w:rsidRPr="000A2F12" w:rsidRDefault="000A2F12" w:rsidP="000A2F12">
      <w:pPr>
        <w:pStyle w:val="HTMLPreformatted"/>
        <w:rPr>
          <w:rStyle w:val="y2iqfc"/>
          <w:rFonts w:asciiTheme="minorHAnsi" w:hAnsiTheme="minorHAnsi"/>
          <w:sz w:val="22"/>
          <w:szCs w:val="22"/>
          <w:lang w:val="es-ES"/>
        </w:rPr>
      </w:pPr>
    </w:p>
    <w:p w14:paraId="03A97D96" w14:textId="77777777" w:rsidR="000A2F12" w:rsidRPr="000A2F12" w:rsidRDefault="000A2F12" w:rsidP="000A2F12">
      <w:pPr>
        <w:pStyle w:val="HTMLPreformatted"/>
        <w:rPr>
          <w:rStyle w:val="y2iqfc"/>
          <w:rFonts w:asciiTheme="minorHAnsi" w:hAnsiTheme="minorHAnsi"/>
          <w:sz w:val="22"/>
          <w:szCs w:val="22"/>
          <w:lang w:val="es-ES"/>
        </w:rPr>
      </w:pPr>
      <w:r w:rsidRPr="000A2F12">
        <w:rPr>
          <w:rStyle w:val="y2iqfc"/>
          <w:rFonts w:asciiTheme="minorHAnsi" w:hAnsiTheme="minorHAnsi"/>
          <w:sz w:val="22"/>
          <w:szCs w:val="22"/>
          <w:lang w:val="es-ES"/>
        </w:rPr>
        <w:t>ADVERTENCIAS, PRECAUCIONES Y LIMITACIONES: Ninguna</w:t>
      </w:r>
    </w:p>
    <w:p w14:paraId="18438836" w14:textId="77777777" w:rsidR="000A2F12" w:rsidRPr="000A2F12" w:rsidRDefault="000A2F12" w:rsidP="000A2F12">
      <w:pPr>
        <w:pStyle w:val="HTMLPreformatted"/>
        <w:rPr>
          <w:rStyle w:val="y2iqfc"/>
          <w:rFonts w:asciiTheme="minorHAnsi" w:hAnsiTheme="minorHAnsi"/>
          <w:sz w:val="22"/>
          <w:szCs w:val="22"/>
          <w:lang w:val="es-ES"/>
        </w:rPr>
      </w:pPr>
      <w:r w:rsidRPr="000A2F12">
        <w:rPr>
          <w:rStyle w:val="y2iqfc"/>
          <w:rFonts w:asciiTheme="minorHAnsi" w:hAnsiTheme="minorHAnsi"/>
          <w:sz w:val="22"/>
          <w:szCs w:val="22"/>
          <w:lang w:val="es-ES"/>
        </w:rPr>
        <w:t>ELIMINACIÓN SEGURA: El producto debe desecharse en el área específica recomendada por las autoridades locales.</w:t>
      </w:r>
    </w:p>
    <w:p w14:paraId="4A73372B" w14:textId="3755D734" w:rsidR="0025201E" w:rsidRPr="0025201E" w:rsidRDefault="000A2F12" w:rsidP="000A2F12">
      <w:pPr>
        <w:pStyle w:val="HTMLPreformatted"/>
        <w:rPr>
          <w:rFonts w:cstheme="minorHAnsi"/>
          <w:lang w:bidi="he-IL"/>
        </w:rPr>
      </w:pPr>
      <w:r w:rsidRPr="000A2F12">
        <w:rPr>
          <w:rStyle w:val="y2iqfc"/>
          <w:rFonts w:asciiTheme="minorHAnsi" w:hAnsiTheme="minorHAnsi"/>
          <w:sz w:val="22"/>
          <w:szCs w:val="22"/>
          <w:lang w:val="es-ES"/>
        </w:rPr>
        <w:t xml:space="preserve">AVISO: Informe a </w:t>
      </w:r>
      <w:proofErr w:type="spellStart"/>
      <w:r w:rsidRPr="000A2F12">
        <w:rPr>
          <w:rStyle w:val="y2iqfc"/>
          <w:rFonts w:asciiTheme="minorHAnsi" w:hAnsiTheme="minorHAnsi"/>
          <w:sz w:val="22"/>
          <w:szCs w:val="22"/>
          <w:lang w:val="es-ES"/>
        </w:rPr>
        <w:t>FareTec</w:t>
      </w:r>
      <w:proofErr w:type="spellEnd"/>
      <w:r w:rsidRPr="000A2F12">
        <w:rPr>
          <w:rStyle w:val="y2iqfc"/>
          <w:rFonts w:asciiTheme="minorHAnsi" w:hAnsiTheme="minorHAnsi"/>
          <w:sz w:val="22"/>
          <w:szCs w:val="22"/>
          <w:lang w:val="es-ES"/>
        </w:rPr>
        <w:t xml:space="preserve"> </w:t>
      </w:r>
      <w:proofErr w:type="spellStart"/>
      <w:r w:rsidRPr="000A2F12">
        <w:rPr>
          <w:rStyle w:val="y2iqfc"/>
          <w:rFonts w:asciiTheme="minorHAnsi" w:hAnsiTheme="minorHAnsi"/>
          <w:sz w:val="22"/>
          <w:szCs w:val="22"/>
          <w:lang w:val="es-ES"/>
        </w:rPr>
        <w:t>oa</w:t>
      </w:r>
      <w:proofErr w:type="spellEnd"/>
      <w:r w:rsidRPr="000A2F12">
        <w:rPr>
          <w:rStyle w:val="y2iqfc"/>
          <w:rFonts w:asciiTheme="minorHAnsi" w:hAnsiTheme="minorHAnsi"/>
          <w:sz w:val="22"/>
          <w:szCs w:val="22"/>
          <w:lang w:val="es-ES"/>
        </w:rPr>
        <w:t xml:space="preserve"> la autoridad competente del Estado miembro en el que utilice este producto sobre cualquier incidente grave que haya ocurrido y sospeche que está relacionado con este dispositivo. Si sospecha que un defecto potencial o un producto no ha cumplido con sus expectativas, infórmelo a la Compañía y proporcione la mayor cantidad de información posible. Número de teléfono de la empresa</w:t>
      </w:r>
      <w:r w:rsidR="00870296" w:rsidRPr="00870296">
        <w:rPr>
          <w:rFonts w:cstheme="minorHAnsi"/>
          <w:lang w:bidi="he-IL"/>
        </w:rPr>
        <w:t>: +1-440-350-9510</w:t>
      </w:r>
    </w:p>
    <w:p w14:paraId="25615078" w14:textId="77777777" w:rsidR="00AA56A0" w:rsidRPr="00F95474" w:rsidRDefault="00AA56A0" w:rsidP="00A1387F">
      <w:pPr>
        <w:rPr>
          <w:rFonts w:cstheme="minorHAnsi"/>
        </w:rPr>
      </w:pPr>
      <w:r w:rsidRPr="00F95474">
        <w:rPr>
          <w:rFonts w:cstheme="minorHAnsi"/>
          <w:noProof/>
          <w:lang w:bidi="he-IL"/>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proofErr w:type="spellStart"/>
                            <w:r>
                              <w:t>FareTec</w:t>
                            </w:r>
                            <w:proofErr w:type="spellEnd"/>
                            <w:r>
                              <w:t xml:space="preserve"> Inc, 1610 West Jackson St, Painesville, OH 44077 USA, (p) 440-350-9510</w:t>
                            </w:r>
                          </w:p>
                          <w:p w14:paraId="29BA3DCA" w14:textId="77777777" w:rsidR="00AA56A0" w:rsidRDefault="00AA56A0" w:rsidP="00AA56A0">
                            <w:r>
                              <w:t>(f)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proofErr w:type="spellStart"/>
                      <w:r>
                        <w:t>FareTec</w:t>
                      </w:r>
                      <w:proofErr w:type="spellEnd"/>
                      <w:r>
                        <w:t xml:space="preserve"> Inc, 1610 West Jackson St, Painesville, OH 44077 USA, (p) 440-350-9510</w:t>
                      </w:r>
                    </w:p>
                    <w:p w14:paraId="29BA3DCA" w14:textId="77777777" w:rsidR="00AA56A0" w:rsidRDefault="00AA56A0" w:rsidP="00AA56A0">
                      <w:r>
                        <w:t>(f) 440-350-9520, www.faretec.com</w:t>
                      </w:r>
                    </w:p>
                  </w:txbxContent>
                </v:textbox>
                <w10:wrap type="square"/>
              </v:shape>
            </w:pict>
          </mc:Fallback>
        </mc:AlternateContent>
      </w:r>
      <w:r w:rsidRPr="00F95474">
        <w:rPr>
          <w:rFonts w:cstheme="minorHAnsi"/>
          <w:noProof/>
          <w:lang w:bidi="he-IL"/>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6969B060" w14:textId="77777777" w:rsidR="00AA56A0" w:rsidRPr="00F95474" w:rsidRDefault="00AA56A0" w:rsidP="00A1387F">
      <w:pPr>
        <w:rPr>
          <w:rFonts w:cstheme="minorHAnsi"/>
        </w:rPr>
      </w:pPr>
    </w:p>
    <w:p w14:paraId="16A03DA7" w14:textId="57F2F080" w:rsidR="00AA56A0" w:rsidRDefault="00AA56A0" w:rsidP="00A1387F">
      <w:pPr>
        <w:rPr>
          <w:rFonts w:cstheme="minorHAnsi"/>
          <w:noProof/>
          <w:lang w:val="en-AU" w:eastAsia="en-AU"/>
        </w:rPr>
      </w:pPr>
      <w:r w:rsidRPr="00F95474">
        <w:rPr>
          <w:rFonts w:cstheme="minorHAnsi"/>
          <w:noProof/>
          <w:lang w:bidi="he-IL"/>
        </w:rPr>
        <mc:AlternateContent>
          <mc:Choice Requires="wps">
            <w:drawing>
              <wp:anchor distT="45720" distB="45720" distL="114300" distR="114300" simplePos="0" relativeHeight="251661312" behindDoc="0" locked="0" layoutInCell="1" allowOverlap="1" wp14:anchorId="1136FA0B" wp14:editId="1683095C">
                <wp:simplePos x="0" y="0"/>
                <wp:positionH relativeFrom="column">
                  <wp:posOffset>1052830</wp:posOffset>
                </wp:positionH>
                <wp:positionV relativeFrom="paragraph">
                  <wp:posOffset>11430</wp:posOffset>
                </wp:positionV>
                <wp:extent cx="4467225" cy="44577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5770"/>
                        </a:xfrm>
                        <a:prstGeom prst="rect">
                          <a:avLst/>
                        </a:prstGeom>
                        <a:solidFill>
                          <a:srgbClr val="FFFFFF"/>
                        </a:solidFill>
                        <a:ln w="9525">
                          <a:solidFill>
                            <a:srgbClr val="000000"/>
                          </a:solidFill>
                          <a:miter lim="800000"/>
                          <a:headEnd/>
                          <a:tailEnd/>
                        </a:ln>
                      </wps:spPr>
                      <wps:txbx>
                        <w:txbxContent>
                          <w:p w14:paraId="3DA4E585" w14:textId="77777777" w:rsidR="00BE3BA1" w:rsidRPr="000A3ADE" w:rsidRDefault="00BE3BA1" w:rsidP="00BE3BA1">
                            <w:r w:rsidRPr="000A3ADE">
                              <w:t xml:space="preserve">CMC Medical Devices &amp; Drugs S.L., C/ Horacio </w:t>
                            </w:r>
                            <w:proofErr w:type="spellStart"/>
                            <w:r w:rsidRPr="000A3ADE">
                              <w:t>Lengo</w:t>
                            </w:r>
                            <w:proofErr w:type="spellEnd"/>
                            <w:r w:rsidRPr="000A3ADE">
                              <w:t xml:space="preserve"> n18, C.P 29006 Málaga-Spain</w:t>
                            </w:r>
                          </w:p>
                          <w:p w14:paraId="215275C9" w14:textId="35BD63A8" w:rsidR="00AA56A0" w:rsidRPr="00BE3BA1"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FA0B" id="_x0000_s1027" type="#_x0000_t202" style="position:absolute;margin-left:82.9pt;margin-top:.9pt;width:351.75pt;height:3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">
                <v:textbox>
                  <w:txbxContent>
                    <w:p w14:paraId="3DA4E585" w14:textId="77777777" w:rsidR="00BE3BA1" w:rsidRPr="000A3ADE" w:rsidRDefault="00BE3BA1" w:rsidP="00BE3BA1">
                      <w:r w:rsidRPr="000A3ADE">
                        <w:t xml:space="preserve">CMC Medical Devices &amp; Drugs S.L., C/ Horacio </w:t>
                      </w:r>
                      <w:proofErr w:type="spellStart"/>
                      <w:r w:rsidRPr="000A3ADE">
                        <w:t>Lengo</w:t>
                      </w:r>
                      <w:proofErr w:type="spellEnd"/>
                      <w:r w:rsidRPr="000A3ADE">
                        <w:t xml:space="preserve"> n18, C.P 29006 Málaga-Spain</w:t>
                      </w:r>
                    </w:p>
                    <w:p w14:paraId="215275C9" w14:textId="35BD63A8" w:rsidR="00AA56A0" w:rsidRPr="00BE3BA1" w:rsidRDefault="00AA56A0" w:rsidP="00AA56A0"/>
                  </w:txbxContent>
                </v:textbox>
                <w10:wrap type="square"/>
              </v:shape>
            </w:pict>
          </mc:Fallback>
        </mc:AlternateContent>
      </w:r>
      <w:r w:rsidRPr="00F95474">
        <w:rPr>
          <w:rFonts w:cstheme="minorHAnsi"/>
          <w:noProof/>
          <w:lang w:bidi="he-IL"/>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sidRPr="00F95474">
        <w:rPr>
          <w:rFonts w:cstheme="minorHAnsi"/>
          <w:noProof/>
          <w:lang w:val="en-AU" w:eastAsia="en-AU"/>
        </w:rPr>
        <w:t xml:space="preserve"> </w:t>
      </w:r>
      <w:r w:rsidRPr="00F95474">
        <w:rPr>
          <w:rFonts w:cstheme="minorHAnsi"/>
          <w:noProof/>
          <w:lang w:bidi="he-IL"/>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r w:rsidRPr="00F95474">
        <w:rPr>
          <w:rFonts w:cstheme="minorHAnsi"/>
          <w:noProof/>
          <w:lang w:val="en-AU" w:eastAsia="en-AU"/>
        </w:rPr>
        <w:tab/>
      </w:r>
    </w:p>
    <w:p w14:paraId="4EB1E10D" w14:textId="191395A1" w:rsidR="00BE3BA1" w:rsidRDefault="00BE3BA1" w:rsidP="00A1387F">
      <w:pPr>
        <w:rPr>
          <w:rFonts w:cstheme="minorHAnsi"/>
          <w:noProof/>
          <w:lang w:val="en-AU" w:eastAsia="en-AU"/>
        </w:rPr>
      </w:pPr>
    </w:p>
    <w:tbl>
      <w:tblPr>
        <w:tblStyle w:val="TableGrid"/>
        <w:tblW w:w="0" w:type="auto"/>
        <w:tblLook w:val="04A0" w:firstRow="1" w:lastRow="0" w:firstColumn="1" w:lastColumn="0" w:noHBand="0" w:noVBand="1"/>
      </w:tblPr>
      <w:tblGrid>
        <w:gridCol w:w="2189"/>
        <w:gridCol w:w="2190"/>
        <w:gridCol w:w="2189"/>
        <w:gridCol w:w="2190"/>
      </w:tblGrid>
      <w:tr w:rsidR="00BE3BA1" w:rsidRPr="00BE3BA1" w14:paraId="17393651" w14:textId="77777777" w:rsidTr="000A2F12">
        <w:trPr>
          <w:trHeight w:val="1000"/>
        </w:trPr>
        <w:tc>
          <w:tcPr>
            <w:tcW w:w="2189" w:type="dxa"/>
          </w:tcPr>
          <w:p w14:paraId="3F76446F" w14:textId="77777777" w:rsidR="00BE3BA1" w:rsidRPr="00BE3BA1" w:rsidRDefault="00BE3BA1" w:rsidP="00BE3BA1">
            <w:pPr>
              <w:rPr>
                <w:rFonts w:cstheme="minorHAnsi"/>
                <w:noProof/>
                <w:lang w:val="en-AU" w:eastAsia="en-AU"/>
              </w:rPr>
            </w:pPr>
          </w:p>
          <w:p w14:paraId="372C3A6E"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7DB6669C" wp14:editId="598B6D39">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190" w:type="dxa"/>
          </w:tcPr>
          <w:p w14:paraId="36CA5B37" w14:textId="77777777" w:rsidR="00BE3BA1" w:rsidRPr="00BE3BA1" w:rsidRDefault="00BE3BA1" w:rsidP="00BE3BA1">
            <w:pPr>
              <w:rPr>
                <w:rFonts w:cstheme="minorHAnsi"/>
                <w:noProof/>
                <w:lang w:val="en-AU" w:eastAsia="en-AU"/>
              </w:rPr>
            </w:pPr>
            <w:r w:rsidRPr="00BE3BA1">
              <w:rPr>
                <w:rFonts w:cstheme="minorHAnsi"/>
                <w:noProof/>
                <w:lang w:val="en-AU" w:eastAsia="en-AU"/>
              </w:rPr>
              <w:t>Manufacturer</w:t>
            </w:r>
          </w:p>
          <w:p w14:paraId="0C1A0AE0" w14:textId="77777777" w:rsidR="00BE3BA1" w:rsidRPr="00BE3BA1" w:rsidRDefault="00BE3BA1" w:rsidP="00BE3BA1">
            <w:pPr>
              <w:rPr>
                <w:rFonts w:cstheme="minorHAnsi"/>
                <w:noProof/>
                <w:lang w:val="en-AU" w:eastAsia="en-AU"/>
              </w:rPr>
            </w:pPr>
          </w:p>
        </w:tc>
        <w:tc>
          <w:tcPr>
            <w:tcW w:w="2189" w:type="dxa"/>
          </w:tcPr>
          <w:p w14:paraId="5E1FE833" w14:textId="77777777" w:rsidR="00BE3BA1" w:rsidRPr="00BE3BA1" w:rsidRDefault="00BE3BA1" w:rsidP="00BE3BA1">
            <w:pPr>
              <w:rPr>
                <w:rFonts w:cstheme="minorHAnsi"/>
                <w:noProof/>
                <w:lang w:val="en-AU" w:eastAsia="en-AU"/>
              </w:rPr>
            </w:pPr>
          </w:p>
          <w:p w14:paraId="091BC88B" w14:textId="77777777" w:rsidR="00BE3BA1" w:rsidRPr="00BE3BA1" w:rsidRDefault="00BE3BA1" w:rsidP="00BE3BA1">
            <w:pPr>
              <w:jc w:val="center"/>
              <w:rPr>
                <w:rFonts w:cstheme="minorHAnsi"/>
                <w:lang w:val="en-AU" w:eastAsia="en-AU"/>
              </w:rPr>
            </w:pPr>
            <w:r w:rsidRPr="00BE3BA1">
              <w:rPr>
                <w:rFonts w:cstheme="minorHAnsi"/>
                <w:noProof/>
                <w:lang w:bidi="he-IL"/>
              </w:rPr>
              <w:drawing>
                <wp:inline distT="0" distB="0" distL="0" distR="0" wp14:anchorId="54EA1BF7" wp14:editId="343FC107">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190" w:type="dxa"/>
          </w:tcPr>
          <w:p w14:paraId="09E93213" w14:textId="77777777" w:rsidR="00BE3BA1" w:rsidRPr="00BE3BA1" w:rsidRDefault="00BE3BA1" w:rsidP="00BE3BA1">
            <w:pPr>
              <w:rPr>
                <w:rFonts w:cstheme="minorHAnsi"/>
                <w:noProof/>
                <w:lang w:val="en-AU" w:eastAsia="en-AU"/>
              </w:rPr>
            </w:pPr>
            <w:r w:rsidRPr="00BE3BA1">
              <w:rPr>
                <w:rFonts w:cstheme="minorHAnsi"/>
                <w:noProof/>
                <w:lang w:val="en-AU" w:eastAsia="en-AU"/>
              </w:rPr>
              <w:t>Authorized representative in the</w:t>
            </w:r>
          </w:p>
          <w:p w14:paraId="5232B182" w14:textId="77777777" w:rsidR="00BE3BA1" w:rsidRPr="00BE3BA1" w:rsidRDefault="00BE3BA1" w:rsidP="00BE3BA1">
            <w:pPr>
              <w:rPr>
                <w:rFonts w:cstheme="minorHAnsi"/>
                <w:noProof/>
                <w:lang w:val="en-AU" w:eastAsia="en-AU"/>
              </w:rPr>
            </w:pPr>
            <w:r w:rsidRPr="00BE3BA1">
              <w:rPr>
                <w:rFonts w:cstheme="minorHAnsi"/>
                <w:noProof/>
                <w:lang w:val="en-AU" w:eastAsia="en-AU"/>
              </w:rPr>
              <w:t>European</w:t>
            </w:r>
          </w:p>
          <w:p w14:paraId="7DD0A150" w14:textId="77777777" w:rsidR="00BE3BA1" w:rsidRPr="00BE3BA1" w:rsidRDefault="00BE3BA1" w:rsidP="00BE3BA1">
            <w:pPr>
              <w:rPr>
                <w:rFonts w:cstheme="minorHAnsi"/>
                <w:noProof/>
                <w:lang w:val="en-AU" w:eastAsia="en-AU"/>
              </w:rPr>
            </w:pPr>
            <w:r w:rsidRPr="00BE3BA1">
              <w:rPr>
                <w:rFonts w:cstheme="minorHAnsi"/>
                <w:noProof/>
                <w:lang w:val="en-AU" w:eastAsia="en-AU"/>
              </w:rPr>
              <w:t>Community</w:t>
            </w:r>
          </w:p>
          <w:p w14:paraId="47C97924" w14:textId="77777777" w:rsidR="00BE3BA1" w:rsidRPr="00BE3BA1" w:rsidRDefault="00BE3BA1" w:rsidP="00BE3BA1">
            <w:pPr>
              <w:rPr>
                <w:rFonts w:cstheme="minorHAnsi"/>
                <w:noProof/>
                <w:lang w:val="en-AU" w:eastAsia="en-AU"/>
              </w:rPr>
            </w:pPr>
          </w:p>
        </w:tc>
      </w:tr>
      <w:tr w:rsidR="00BE3BA1" w:rsidRPr="00BE3BA1" w14:paraId="6654C76B" w14:textId="77777777" w:rsidTr="000A2F12">
        <w:trPr>
          <w:trHeight w:val="1000"/>
        </w:trPr>
        <w:tc>
          <w:tcPr>
            <w:tcW w:w="2189" w:type="dxa"/>
          </w:tcPr>
          <w:p w14:paraId="08E58BE8" w14:textId="77777777" w:rsidR="00BE3BA1" w:rsidRPr="00BE3BA1" w:rsidRDefault="00BE3BA1" w:rsidP="00BE3BA1">
            <w:pPr>
              <w:jc w:val="center"/>
              <w:rPr>
                <w:rFonts w:cstheme="minorHAnsi"/>
                <w:noProof/>
                <w:lang w:val="en-AU" w:eastAsia="en-AU"/>
              </w:rPr>
            </w:pPr>
            <w:r w:rsidRPr="00BE3BA1">
              <w:rPr>
                <w:rFonts w:cstheme="minorHAnsi"/>
                <w:noProof/>
                <w:lang w:val="en-AU" w:eastAsia="en-AU"/>
              </w:rPr>
              <w:t xml:space="preserve"> </w:t>
            </w:r>
          </w:p>
          <w:p w14:paraId="69350BE2"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0CDCEB69" wp14:editId="123FC1A9">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3315DDAE" w14:textId="77777777" w:rsidR="00BE3BA1" w:rsidRPr="00BE3BA1" w:rsidRDefault="00BE3BA1" w:rsidP="00BE3BA1">
            <w:pPr>
              <w:jc w:val="center"/>
              <w:rPr>
                <w:rFonts w:cstheme="minorHAnsi"/>
                <w:lang w:val="en-AU" w:eastAsia="en-AU"/>
              </w:rPr>
            </w:pPr>
          </w:p>
        </w:tc>
        <w:tc>
          <w:tcPr>
            <w:tcW w:w="2190" w:type="dxa"/>
          </w:tcPr>
          <w:p w14:paraId="68E62A5C" w14:textId="77777777" w:rsidR="00BE3BA1" w:rsidRPr="00BE3BA1" w:rsidRDefault="00BE3BA1" w:rsidP="00BE3BA1">
            <w:pPr>
              <w:rPr>
                <w:rFonts w:cstheme="minorHAnsi"/>
                <w:noProof/>
                <w:lang w:val="en-AU" w:eastAsia="en-AU"/>
              </w:rPr>
            </w:pPr>
            <w:r w:rsidRPr="00BE3BA1">
              <w:rPr>
                <w:rFonts w:cstheme="minorHAnsi"/>
                <w:noProof/>
                <w:lang w:val="en-AU" w:eastAsia="en-AU"/>
              </w:rPr>
              <w:t>Medical Device</w:t>
            </w:r>
          </w:p>
          <w:p w14:paraId="60F3F691" w14:textId="77777777" w:rsidR="00BE3BA1" w:rsidRPr="00BE3BA1" w:rsidRDefault="00BE3BA1" w:rsidP="00BE3BA1">
            <w:pPr>
              <w:rPr>
                <w:rFonts w:cstheme="minorHAnsi"/>
                <w:noProof/>
                <w:lang w:val="en-AU" w:eastAsia="en-AU"/>
              </w:rPr>
            </w:pPr>
          </w:p>
        </w:tc>
        <w:tc>
          <w:tcPr>
            <w:tcW w:w="2189" w:type="dxa"/>
          </w:tcPr>
          <w:p w14:paraId="0A470F24" w14:textId="77777777" w:rsidR="00BE3BA1" w:rsidRPr="00BE3BA1" w:rsidRDefault="00BE3BA1" w:rsidP="00BE3BA1">
            <w:pPr>
              <w:rPr>
                <w:rFonts w:cstheme="minorHAnsi"/>
                <w:noProof/>
                <w:lang w:val="en-AU" w:eastAsia="en-AU"/>
              </w:rPr>
            </w:pPr>
          </w:p>
          <w:p w14:paraId="631C9238"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32F531CF" wp14:editId="03849BA2">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190" w:type="dxa"/>
          </w:tcPr>
          <w:p w14:paraId="5A226CBF" w14:textId="77777777" w:rsidR="00BE3BA1" w:rsidRPr="00BE3BA1" w:rsidRDefault="00BE3BA1" w:rsidP="00BE3BA1">
            <w:pPr>
              <w:rPr>
                <w:rFonts w:cstheme="minorHAnsi"/>
                <w:noProof/>
                <w:lang w:val="en-AU" w:eastAsia="en-AU"/>
              </w:rPr>
            </w:pPr>
            <w:r w:rsidRPr="00BE3BA1">
              <w:rPr>
                <w:rFonts w:cstheme="minorHAnsi"/>
                <w:noProof/>
                <w:lang w:val="en-AU" w:eastAsia="en-AU"/>
              </w:rPr>
              <w:t>Importer</w:t>
            </w:r>
          </w:p>
          <w:p w14:paraId="75B2C5A2" w14:textId="77777777" w:rsidR="00BE3BA1" w:rsidRPr="00BE3BA1" w:rsidRDefault="00BE3BA1" w:rsidP="00BE3BA1">
            <w:pPr>
              <w:rPr>
                <w:rFonts w:cstheme="minorHAnsi"/>
                <w:noProof/>
                <w:lang w:val="en-AU" w:eastAsia="en-AU"/>
              </w:rPr>
            </w:pPr>
          </w:p>
        </w:tc>
      </w:tr>
      <w:tr w:rsidR="00BE3BA1" w:rsidRPr="00BE3BA1" w14:paraId="659A0CBE" w14:textId="77777777" w:rsidTr="000A2F12">
        <w:trPr>
          <w:trHeight w:val="1000"/>
        </w:trPr>
        <w:tc>
          <w:tcPr>
            <w:tcW w:w="2189" w:type="dxa"/>
          </w:tcPr>
          <w:p w14:paraId="5D733F8B" w14:textId="77777777" w:rsidR="00BE3BA1" w:rsidRPr="00BE3BA1" w:rsidRDefault="00BE3BA1" w:rsidP="00BE3BA1">
            <w:pPr>
              <w:jc w:val="center"/>
              <w:rPr>
                <w:rFonts w:cstheme="minorHAnsi"/>
                <w:noProof/>
                <w:lang w:val="en-AU" w:eastAsia="en-AU"/>
              </w:rPr>
            </w:pPr>
          </w:p>
          <w:p w14:paraId="29599203"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115349A1" wp14:editId="433C6CAC">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6C4340BF" w14:textId="77777777" w:rsidR="00BE3BA1" w:rsidRPr="00BE3BA1" w:rsidRDefault="00BE3BA1" w:rsidP="00BE3BA1">
            <w:pPr>
              <w:jc w:val="center"/>
              <w:rPr>
                <w:rFonts w:cstheme="minorHAnsi"/>
                <w:lang w:val="en-AU" w:eastAsia="en-AU"/>
              </w:rPr>
            </w:pPr>
          </w:p>
        </w:tc>
        <w:tc>
          <w:tcPr>
            <w:tcW w:w="2190" w:type="dxa"/>
          </w:tcPr>
          <w:p w14:paraId="6B17E069" w14:textId="77777777" w:rsidR="00BE3BA1" w:rsidRPr="00BE3BA1" w:rsidRDefault="00BE3BA1" w:rsidP="00BE3BA1">
            <w:pPr>
              <w:rPr>
                <w:rFonts w:cstheme="minorHAnsi"/>
                <w:noProof/>
                <w:lang w:val="en-AU" w:eastAsia="en-AU"/>
              </w:rPr>
            </w:pPr>
            <w:r w:rsidRPr="00BE3BA1">
              <w:rPr>
                <w:rFonts w:cstheme="minorHAnsi"/>
                <w:noProof/>
                <w:lang w:val="en-AU" w:eastAsia="en-AU"/>
              </w:rPr>
              <w:t>Consult instructions for use</w:t>
            </w:r>
          </w:p>
          <w:p w14:paraId="0E091442" w14:textId="77777777" w:rsidR="00BE3BA1" w:rsidRPr="00BE3BA1" w:rsidRDefault="00BE3BA1" w:rsidP="00BE3BA1">
            <w:pPr>
              <w:rPr>
                <w:rFonts w:cstheme="minorHAnsi"/>
                <w:noProof/>
                <w:lang w:val="en-AU" w:eastAsia="en-AU"/>
              </w:rPr>
            </w:pPr>
          </w:p>
        </w:tc>
        <w:tc>
          <w:tcPr>
            <w:tcW w:w="2189" w:type="dxa"/>
          </w:tcPr>
          <w:p w14:paraId="0D5AE20D" w14:textId="77777777" w:rsidR="00BE3BA1" w:rsidRPr="00BE3BA1" w:rsidRDefault="00BE3BA1" w:rsidP="00BE3BA1">
            <w:pPr>
              <w:rPr>
                <w:rFonts w:cstheme="minorHAnsi"/>
                <w:noProof/>
                <w:lang w:val="en-AU" w:eastAsia="en-AU"/>
              </w:rPr>
            </w:pPr>
          </w:p>
          <w:p w14:paraId="729EB76E" w14:textId="77777777" w:rsidR="00BE3BA1" w:rsidRPr="00BE3BA1" w:rsidRDefault="00BE3BA1" w:rsidP="00BE3BA1">
            <w:pPr>
              <w:jc w:val="center"/>
              <w:rPr>
                <w:rFonts w:cstheme="minorHAnsi"/>
                <w:lang w:val="en-AU" w:eastAsia="en-AU"/>
              </w:rPr>
            </w:pPr>
            <w:r w:rsidRPr="00BE3BA1">
              <w:rPr>
                <w:noProof/>
              </w:rPr>
              <w:drawing>
                <wp:inline distT="0" distB="0" distL="0" distR="0" wp14:anchorId="0021CB65" wp14:editId="2B848B0E">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190" w:type="dxa"/>
          </w:tcPr>
          <w:p w14:paraId="4DEFE554" w14:textId="77777777" w:rsidR="00BE3BA1" w:rsidRPr="00BE3BA1" w:rsidRDefault="00BE3BA1" w:rsidP="00BE3BA1">
            <w:pPr>
              <w:rPr>
                <w:rFonts w:cstheme="minorHAnsi"/>
                <w:noProof/>
                <w:lang w:val="en-AU" w:eastAsia="en-AU"/>
              </w:rPr>
            </w:pPr>
            <w:r w:rsidRPr="00BE3BA1">
              <w:rPr>
                <w:rFonts w:cstheme="minorHAnsi"/>
                <w:noProof/>
                <w:lang w:val="en-AU" w:eastAsia="en-AU"/>
              </w:rPr>
              <w:t>Catalogue number</w:t>
            </w:r>
          </w:p>
          <w:p w14:paraId="073DB6CA" w14:textId="77777777" w:rsidR="00BE3BA1" w:rsidRPr="00BE3BA1" w:rsidRDefault="00BE3BA1" w:rsidP="00BE3BA1">
            <w:pPr>
              <w:rPr>
                <w:rFonts w:cstheme="minorHAnsi"/>
                <w:noProof/>
                <w:lang w:val="en-AU" w:eastAsia="en-AU"/>
              </w:rPr>
            </w:pPr>
          </w:p>
        </w:tc>
      </w:tr>
      <w:tr w:rsidR="00BE3BA1" w:rsidRPr="00BE3BA1" w14:paraId="7EC59A1E" w14:textId="77777777" w:rsidTr="000A2F12">
        <w:trPr>
          <w:trHeight w:val="1000"/>
        </w:trPr>
        <w:tc>
          <w:tcPr>
            <w:tcW w:w="2189" w:type="dxa"/>
          </w:tcPr>
          <w:p w14:paraId="61E7B90D" w14:textId="77777777" w:rsidR="00BE3BA1" w:rsidRPr="00BE3BA1" w:rsidRDefault="00BE3BA1" w:rsidP="00BE3BA1">
            <w:pPr>
              <w:jc w:val="center"/>
              <w:rPr>
                <w:rFonts w:cstheme="minorHAnsi"/>
                <w:noProof/>
                <w:lang w:val="en-AU" w:eastAsia="en-AU"/>
              </w:rPr>
            </w:pPr>
          </w:p>
          <w:p w14:paraId="11B3145F"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16D755C2" wp14:editId="5E01A1C8">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190" w:type="dxa"/>
          </w:tcPr>
          <w:p w14:paraId="1E214287" w14:textId="77777777" w:rsidR="00BE3BA1" w:rsidRPr="00BE3BA1" w:rsidRDefault="00BE3BA1" w:rsidP="00BE3BA1">
            <w:pPr>
              <w:rPr>
                <w:rFonts w:cstheme="minorHAnsi"/>
                <w:noProof/>
                <w:lang w:val="en-AU" w:eastAsia="en-AU"/>
              </w:rPr>
            </w:pPr>
            <w:r w:rsidRPr="00BE3BA1">
              <w:rPr>
                <w:rFonts w:cstheme="minorHAnsi"/>
                <w:noProof/>
                <w:lang w:val="en-AU" w:eastAsia="en-AU"/>
              </w:rPr>
              <w:t>Date of manufacture</w:t>
            </w:r>
          </w:p>
          <w:p w14:paraId="7D01E97D" w14:textId="77777777" w:rsidR="00BE3BA1" w:rsidRPr="00BE3BA1" w:rsidRDefault="00BE3BA1" w:rsidP="00BE3BA1">
            <w:pPr>
              <w:rPr>
                <w:rFonts w:cstheme="minorHAnsi"/>
                <w:noProof/>
                <w:lang w:val="en-AU" w:eastAsia="en-AU"/>
              </w:rPr>
            </w:pPr>
          </w:p>
        </w:tc>
        <w:tc>
          <w:tcPr>
            <w:tcW w:w="2189" w:type="dxa"/>
          </w:tcPr>
          <w:p w14:paraId="4D67664E" w14:textId="77777777" w:rsidR="00BE3BA1" w:rsidRPr="00BE3BA1" w:rsidRDefault="00BE3BA1" w:rsidP="00BE3BA1">
            <w:pPr>
              <w:rPr>
                <w:rFonts w:cstheme="minorHAnsi"/>
                <w:noProof/>
                <w:lang w:val="en-AU" w:eastAsia="en-AU"/>
              </w:rPr>
            </w:pPr>
          </w:p>
          <w:p w14:paraId="12CCAEF5" w14:textId="77777777" w:rsidR="00BE3BA1" w:rsidRPr="00BE3BA1" w:rsidRDefault="00BE3BA1" w:rsidP="00BE3BA1">
            <w:pPr>
              <w:jc w:val="center"/>
              <w:rPr>
                <w:rFonts w:cstheme="minorHAnsi"/>
                <w:lang w:val="en-AU" w:eastAsia="en-AU"/>
              </w:rPr>
            </w:pPr>
            <w:r w:rsidRPr="00BE3BA1">
              <w:rPr>
                <w:noProof/>
              </w:rPr>
              <w:drawing>
                <wp:inline distT="0" distB="0" distL="0" distR="0" wp14:anchorId="7FA8593B" wp14:editId="78743BFE">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190" w:type="dxa"/>
          </w:tcPr>
          <w:p w14:paraId="5160A0B4" w14:textId="77777777" w:rsidR="00BE3BA1" w:rsidRPr="00BE3BA1" w:rsidRDefault="00BE3BA1" w:rsidP="00BE3BA1">
            <w:pPr>
              <w:rPr>
                <w:rFonts w:cstheme="minorHAnsi"/>
                <w:noProof/>
                <w:lang w:val="en-AU" w:eastAsia="en-AU"/>
              </w:rPr>
            </w:pPr>
            <w:r w:rsidRPr="00BE3BA1">
              <w:rPr>
                <w:rFonts w:cstheme="minorHAnsi"/>
                <w:noProof/>
                <w:lang w:val="en-AU" w:eastAsia="en-AU"/>
              </w:rPr>
              <w:t>Batch code</w:t>
            </w:r>
          </w:p>
          <w:p w14:paraId="0301FFF9" w14:textId="77777777" w:rsidR="00BE3BA1" w:rsidRPr="00BE3BA1" w:rsidRDefault="00BE3BA1" w:rsidP="00BE3BA1">
            <w:pPr>
              <w:rPr>
                <w:rFonts w:cstheme="minorHAnsi"/>
                <w:noProof/>
                <w:lang w:val="en-AU" w:eastAsia="en-AU"/>
              </w:rPr>
            </w:pPr>
          </w:p>
        </w:tc>
      </w:tr>
    </w:tbl>
    <w:p w14:paraId="1F5FF62A" w14:textId="77777777" w:rsidR="00BE3BA1" w:rsidRPr="00F95474" w:rsidRDefault="00BE3BA1" w:rsidP="0025201E">
      <w:pPr>
        <w:rPr>
          <w:rFonts w:cstheme="minorHAnsi"/>
        </w:rPr>
      </w:pPr>
    </w:p>
    <w:sectPr w:rsidR="00BE3BA1" w:rsidRPr="00F95474"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7E2E" w14:textId="77777777" w:rsidR="00616E36" w:rsidRDefault="00616E36" w:rsidP="00ED22B4">
      <w:r>
        <w:separator/>
      </w:r>
    </w:p>
  </w:endnote>
  <w:endnote w:type="continuationSeparator" w:id="0">
    <w:p w14:paraId="263AF9B0" w14:textId="77777777" w:rsidR="00616E36" w:rsidRDefault="00616E36"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97238"/>
      <w:docPartObj>
        <w:docPartGallery w:val="Page Numbers (Bottom of Page)"/>
        <w:docPartUnique/>
      </w:docPartObj>
    </w:sdtPr>
    <w:sdtEndPr/>
    <w:sdtContent>
      <w:p w14:paraId="7A235FB2" w14:textId="7C2E7825" w:rsidR="009C73E8" w:rsidRDefault="009C73E8">
        <w:pPr>
          <w:pStyle w:val="Footer"/>
          <w:jc w:val="right"/>
        </w:pPr>
        <w:r>
          <w:t xml:space="preserve"> </w:t>
        </w:r>
      </w:p>
    </w:sdtContent>
  </w:sdt>
  <w:p w14:paraId="5B241558" w14:textId="1A55E74A" w:rsidR="00877E08" w:rsidRDefault="00877E08" w:rsidP="00877E08">
    <w:pPr>
      <w:pStyle w:val="Footer"/>
    </w:pPr>
    <w:r>
      <w:t>Revision 1</w:t>
    </w:r>
    <w:r>
      <w:tab/>
      <w:t>Date: 14/6/2021</w:t>
    </w:r>
  </w:p>
  <w:p w14:paraId="41C328BD" w14:textId="1253C111" w:rsidR="00ED22B4" w:rsidRDefault="00877E08" w:rsidP="00877E08">
    <w:pPr>
      <w:pStyle w:val="Footer"/>
      <w:tabs>
        <w:tab w:val="left" w:pos="45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219D" w14:textId="77777777" w:rsidR="00616E36" w:rsidRDefault="00616E36" w:rsidP="00ED22B4">
      <w:r>
        <w:separator/>
      </w:r>
    </w:p>
  </w:footnote>
  <w:footnote w:type="continuationSeparator" w:id="0">
    <w:p w14:paraId="13708130" w14:textId="77777777" w:rsidR="00616E36" w:rsidRDefault="00616E36"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DA9" w14:textId="090860DF" w:rsidR="002C16DE" w:rsidRDefault="0061754A" w:rsidP="0061754A">
    <w:pPr>
      <w:pStyle w:val="Header"/>
      <w:jc w:val="center"/>
    </w:pPr>
    <w:r>
      <w:rPr>
        <w:noProof/>
      </w:rPr>
      <w:drawing>
        <wp:inline distT="0" distB="0" distL="0" distR="0" wp14:anchorId="2178EE01" wp14:editId="374F6F89">
          <wp:extent cx="1578610" cy="712470"/>
          <wp:effectExtent l="0" t="0" r="2540" b="0"/>
          <wp:docPr id="2" name="Picture 2" descr="Macintosh HD:Users:tsackett:Documents: Faretec PDF2:FareTec Sign 3 inch.jpg"/>
          <wp:cNvGraphicFramePr/>
          <a:graphic xmlns:a="http://schemas.openxmlformats.org/drawingml/2006/main">
            <a:graphicData uri="http://schemas.openxmlformats.org/drawingml/2006/picture">
              <pic:pic xmlns:pic="http://schemas.openxmlformats.org/drawingml/2006/picture">
                <pic:nvPicPr>
                  <pic:cNvPr id="2" name="Picture 2" descr="Macintosh HD:Users:tsackett:Documents: Faretec PDF2:FareTec Sign 3 inc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12470"/>
                  </a:xfrm>
                  <a:prstGeom prst="rect">
                    <a:avLst/>
                  </a:prstGeom>
                  <a:noFill/>
                  <a:ln>
                    <a:noFill/>
                  </a:ln>
                </pic:spPr>
              </pic:pic>
            </a:graphicData>
          </a:graphic>
        </wp:inline>
      </w:drawing>
    </w:r>
  </w:p>
  <w:p w14:paraId="23583E6D" w14:textId="4DF7A09C" w:rsidR="002C16DE" w:rsidRDefault="002C16DE">
    <w:pPr>
      <w:pStyle w:val="Header"/>
    </w:pPr>
  </w:p>
  <w:p w14:paraId="3F0DB54C" w14:textId="77777777" w:rsidR="002C16DE" w:rsidRPr="00F95474" w:rsidRDefault="002C16DE" w:rsidP="002C16DE">
    <w:pPr>
      <w:rPr>
        <w:rFonts w:cstheme="minorHAnsi"/>
      </w:rPr>
    </w:pPr>
    <w:r w:rsidRPr="004D19EC">
      <w:rPr>
        <w:rFonts w:cstheme="minorHAnsi"/>
      </w:rPr>
      <w:t xml:space="preserve">1610 W Jackson Street   •   </w:t>
    </w:r>
    <w:r w:rsidRPr="00F95474">
      <w:rPr>
        <w:rFonts w:cstheme="minorHAnsi"/>
      </w:rPr>
      <w:t xml:space="preserve">Painesville, </w:t>
    </w:r>
    <w:proofErr w:type="gramStart"/>
    <w:r w:rsidRPr="00F95474">
      <w:rPr>
        <w:rFonts w:cstheme="minorHAnsi"/>
      </w:rPr>
      <w:t>Ohio  44077</w:t>
    </w:r>
    <w:proofErr w:type="gramEnd"/>
    <w:r w:rsidRPr="00F95474">
      <w:rPr>
        <w:rFonts w:cstheme="minorHAnsi"/>
      </w:rPr>
      <w:t xml:space="preserve">   </w:t>
    </w:r>
    <w:r w:rsidRPr="004D19EC">
      <w:rPr>
        <w:rFonts w:cstheme="minorHAnsi"/>
      </w:rPr>
      <w:t>•</w:t>
    </w:r>
    <w:r w:rsidRPr="00F95474">
      <w:rPr>
        <w:rFonts w:cstheme="minorHAnsi"/>
      </w:rPr>
      <w:t xml:space="preserve">   440-350-9510   </w:t>
    </w:r>
    <w:r w:rsidRPr="004D19EC">
      <w:rPr>
        <w:rFonts w:cstheme="minorHAnsi"/>
      </w:rPr>
      <w:t>•</w:t>
    </w:r>
    <w:r w:rsidRPr="00F95474">
      <w:rPr>
        <w:rFonts w:cstheme="minorHAnsi"/>
      </w:rPr>
      <w:t xml:space="preserve">   </w:t>
    </w:r>
    <w:hyperlink r:id="rId2" w:history="1">
      <w:r w:rsidRPr="00F95474">
        <w:rPr>
          <w:rStyle w:val="Hyperlink"/>
          <w:rFonts w:cstheme="minorHAnsi"/>
        </w:rPr>
        <w:t>www.faretec.com</w:t>
      </w:r>
    </w:hyperlink>
  </w:p>
  <w:p w14:paraId="2FD95139" w14:textId="77777777" w:rsidR="002C16DE" w:rsidRDefault="002C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BB"/>
    <w:multiLevelType w:val="hybridMultilevel"/>
    <w:tmpl w:val="448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03F62"/>
    <w:multiLevelType w:val="hybridMultilevel"/>
    <w:tmpl w:val="2BEC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23D2F"/>
    <w:rsid w:val="00076C8D"/>
    <w:rsid w:val="00094F01"/>
    <w:rsid w:val="000A2F12"/>
    <w:rsid w:val="000C54E4"/>
    <w:rsid w:val="000C747D"/>
    <w:rsid w:val="00234755"/>
    <w:rsid w:val="0025201E"/>
    <w:rsid w:val="002635B6"/>
    <w:rsid w:val="00271E8C"/>
    <w:rsid w:val="002A4F19"/>
    <w:rsid w:val="002C16DE"/>
    <w:rsid w:val="0036666E"/>
    <w:rsid w:val="003C25F0"/>
    <w:rsid w:val="00403F28"/>
    <w:rsid w:val="00413F92"/>
    <w:rsid w:val="004234D2"/>
    <w:rsid w:val="00486077"/>
    <w:rsid w:val="004B048E"/>
    <w:rsid w:val="004C1A63"/>
    <w:rsid w:val="004D19EC"/>
    <w:rsid w:val="0055547A"/>
    <w:rsid w:val="005D1FA0"/>
    <w:rsid w:val="00606538"/>
    <w:rsid w:val="00616E36"/>
    <w:rsid w:val="0061754A"/>
    <w:rsid w:val="006D686E"/>
    <w:rsid w:val="00840809"/>
    <w:rsid w:val="00846A9F"/>
    <w:rsid w:val="00870296"/>
    <w:rsid w:val="00877E08"/>
    <w:rsid w:val="009658DE"/>
    <w:rsid w:val="009B55E3"/>
    <w:rsid w:val="009C73E8"/>
    <w:rsid w:val="00A04051"/>
    <w:rsid w:val="00A1387F"/>
    <w:rsid w:val="00A4116D"/>
    <w:rsid w:val="00AA56A0"/>
    <w:rsid w:val="00B36E46"/>
    <w:rsid w:val="00BC5752"/>
    <w:rsid w:val="00BD45A9"/>
    <w:rsid w:val="00BE3BA1"/>
    <w:rsid w:val="00C53612"/>
    <w:rsid w:val="00CC637E"/>
    <w:rsid w:val="00D4077F"/>
    <w:rsid w:val="00D52D4A"/>
    <w:rsid w:val="00D76111"/>
    <w:rsid w:val="00E15AC6"/>
    <w:rsid w:val="00E94414"/>
    <w:rsid w:val="00ED22B4"/>
    <w:rsid w:val="00ED346C"/>
    <w:rsid w:val="00F83A4E"/>
    <w:rsid w:val="00F95474"/>
    <w:rsid w:val="00FC1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D4077F"/>
    <w:pPr>
      <w:ind w:left="720"/>
      <w:contextualSpacing/>
    </w:pPr>
  </w:style>
  <w:style w:type="table" w:styleId="TableGrid">
    <w:name w:val="Table Grid"/>
    <w:basedOn w:val="TableNormal"/>
    <w:uiPriority w:val="59"/>
    <w:rsid w:val="00BE3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A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A2F12"/>
    <w:rPr>
      <w:rFonts w:ascii="Courier New" w:eastAsia="Times New Roman" w:hAnsi="Courier New" w:cs="Courier New"/>
      <w:sz w:val="20"/>
      <w:szCs w:val="20"/>
    </w:rPr>
  </w:style>
  <w:style w:type="character" w:customStyle="1" w:styleId="y2iqfc">
    <w:name w:val="y2iqfc"/>
    <w:basedOn w:val="DefaultParagraphFont"/>
    <w:rsid w:val="000A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20956">
      <w:bodyDiv w:val="1"/>
      <w:marLeft w:val="0"/>
      <w:marRight w:val="0"/>
      <w:marTop w:val="0"/>
      <w:marBottom w:val="0"/>
      <w:divBdr>
        <w:top w:val="none" w:sz="0" w:space="0" w:color="auto"/>
        <w:left w:val="none" w:sz="0" w:space="0" w:color="auto"/>
        <w:bottom w:val="none" w:sz="0" w:space="0" w:color="auto"/>
        <w:right w:val="none" w:sz="0" w:space="0" w:color="auto"/>
      </w:divBdr>
    </w:div>
    <w:div w:id="10634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Lee Sackett</cp:lastModifiedBy>
  <cp:revision>2</cp:revision>
  <dcterms:created xsi:type="dcterms:W3CDTF">2021-07-14T23:39:00Z</dcterms:created>
  <dcterms:modified xsi:type="dcterms:W3CDTF">2021-07-14T23:39:00Z</dcterms:modified>
</cp:coreProperties>
</file>